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F4AA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Compliance Record Summary – 2024</w:t>
      </w:r>
    </w:p>
    <w:p w14:paraId="3F63DDBF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Organisation Overview</w:t>
      </w:r>
    </w:p>
    <w:p w14:paraId="753EC6DE" w14:textId="77777777" w:rsidR="00674F8A" w:rsidRDefault="00674F8A" w:rsidP="00E209FE">
      <w:pPr>
        <w:spacing w:after="0"/>
      </w:pPr>
      <w:r w:rsidRPr="00674F8A">
        <w:rPr>
          <w:b/>
          <w:bCs/>
        </w:rPr>
        <w:t>Charity:</w:t>
      </w:r>
      <w:r w:rsidRPr="00674F8A">
        <w:t xml:space="preserve"> Community Enterprise Society CLG t/a Terenure Enterprise Centre</w:t>
      </w:r>
      <w:r w:rsidRPr="00674F8A">
        <w:br/>
      </w:r>
      <w:r w:rsidRPr="00674F8A">
        <w:rPr>
          <w:b/>
          <w:bCs/>
        </w:rPr>
        <w:t>Registered Charity Number (RCN):</w:t>
      </w:r>
      <w:r w:rsidRPr="00674F8A">
        <w:t xml:space="preserve"> 20025069</w:t>
      </w:r>
      <w:r w:rsidRPr="00674F8A">
        <w:br/>
      </w:r>
      <w:r w:rsidRPr="00674F8A">
        <w:rPr>
          <w:b/>
          <w:bCs/>
        </w:rPr>
        <w:t>Reporting Period:</w:t>
      </w:r>
      <w:r w:rsidRPr="00674F8A">
        <w:t xml:space="preserve"> January–December 2024</w:t>
      </w:r>
      <w:r w:rsidRPr="00674F8A">
        <w:br/>
      </w:r>
      <w:r w:rsidRPr="00674F8A">
        <w:rPr>
          <w:b/>
          <w:bCs/>
        </w:rPr>
        <w:t>Board Approval Date:</w:t>
      </w:r>
      <w:r w:rsidRPr="00674F8A">
        <w:t xml:space="preserve"> 2 October 2025</w:t>
      </w:r>
    </w:p>
    <w:p w14:paraId="1B7F7764" w14:textId="77777777" w:rsidR="00E209FE" w:rsidRPr="00674F8A" w:rsidRDefault="00E209FE" w:rsidP="00E209FE">
      <w:pPr>
        <w:spacing w:after="0"/>
      </w:pPr>
    </w:p>
    <w:p w14:paraId="6794AF67" w14:textId="69CC9595" w:rsidR="00D27248" w:rsidRDefault="00674F8A" w:rsidP="00E209FE">
      <w:pPr>
        <w:spacing w:after="0"/>
      </w:pPr>
      <w:r w:rsidRPr="00674F8A">
        <w:t>This Compliance Record demonstrates the organisation’s adherence to the Charities Governance Code across the six core governance principles. The charity has established a broad governance framework supported by board oversight, operational policies, strategic planning, financial controls, staff and volunteer management systems, and stakeholder engagement processes.</w:t>
      </w:r>
    </w:p>
    <w:p w14:paraId="0D9C160F" w14:textId="77777777" w:rsidR="00E209FE" w:rsidRPr="00674F8A" w:rsidRDefault="00E209FE" w:rsidP="00E209FE">
      <w:pPr>
        <w:spacing w:after="0"/>
      </w:pPr>
    </w:p>
    <w:p w14:paraId="426DC34E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Key Governance Highlights</w:t>
      </w:r>
    </w:p>
    <w:p w14:paraId="07EA5F15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1. Advancing Charitable Purpose</w:t>
      </w:r>
    </w:p>
    <w:p w14:paraId="454E50A4" w14:textId="77777777" w:rsidR="00674F8A" w:rsidRPr="00674F8A" w:rsidRDefault="00674F8A" w:rsidP="00E209FE">
      <w:pPr>
        <w:numPr>
          <w:ilvl w:val="0"/>
          <w:numId w:val="1"/>
        </w:numPr>
        <w:spacing w:after="0"/>
      </w:pPr>
      <w:r w:rsidRPr="00674F8A">
        <w:t>Charity purpose is clearly defined in the constitution and communicated throughout the organisation.</w:t>
      </w:r>
    </w:p>
    <w:p w14:paraId="68787D44" w14:textId="77777777" w:rsidR="00674F8A" w:rsidRPr="00674F8A" w:rsidRDefault="00674F8A" w:rsidP="00E209FE">
      <w:pPr>
        <w:numPr>
          <w:ilvl w:val="0"/>
          <w:numId w:val="1"/>
        </w:numPr>
        <w:spacing w:after="0"/>
      </w:pPr>
      <w:r w:rsidRPr="00674F8A">
        <w:t>Strategic planning is central to operations, with the 2022–2024 Strategic Plan under review and development of the 2025–2027 plan commencing in 2025.</w:t>
      </w:r>
    </w:p>
    <w:p w14:paraId="716A83CD" w14:textId="7C204ACB" w:rsidR="00674F8A" w:rsidRPr="00674F8A" w:rsidRDefault="00674F8A" w:rsidP="00E209FE">
      <w:pPr>
        <w:numPr>
          <w:ilvl w:val="0"/>
          <w:numId w:val="1"/>
        </w:numPr>
        <w:spacing w:after="0"/>
      </w:pPr>
      <w:r w:rsidRPr="00674F8A">
        <w:t>Board reviews organisational activities and public benefit re</w:t>
      </w:r>
      <w:r w:rsidR="00CC4FFB">
        <w:t>view</w:t>
      </w:r>
      <w:r w:rsidRPr="00674F8A">
        <w:t xml:space="preserve"> through board meetings, CEO reports, and strategic reviews.</w:t>
      </w:r>
    </w:p>
    <w:p w14:paraId="1E4F311B" w14:textId="77777777" w:rsidR="00674F8A" w:rsidRDefault="00674F8A" w:rsidP="00E209FE">
      <w:pPr>
        <w:numPr>
          <w:ilvl w:val="0"/>
          <w:numId w:val="1"/>
        </w:numPr>
        <w:spacing w:after="0"/>
      </w:pPr>
      <w:r w:rsidRPr="00674F8A">
        <w:t>Resources and operational capacity are reviewed continuously to ensure delivery of charitable objectives.</w:t>
      </w:r>
    </w:p>
    <w:p w14:paraId="2C793496" w14:textId="7E565D4E" w:rsidR="00DC1F9D" w:rsidRDefault="007B25F7" w:rsidP="00E209FE">
      <w:pPr>
        <w:numPr>
          <w:ilvl w:val="0"/>
          <w:numId w:val="1"/>
        </w:numPr>
        <w:spacing w:after="0"/>
      </w:pPr>
      <w:r>
        <w:t xml:space="preserve">The CEO reports provide updated to the Board to monitor progress against plans and evaluate the effectiveness of </w:t>
      </w:r>
      <w:r w:rsidR="007119D3">
        <w:t>our work.</w:t>
      </w:r>
    </w:p>
    <w:p w14:paraId="7F60AE3B" w14:textId="77777777" w:rsidR="00E209FE" w:rsidRPr="00674F8A" w:rsidRDefault="00E209FE" w:rsidP="00E209FE">
      <w:pPr>
        <w:spacing w:after="0"/>
        <w:ind w:left="720"/>
      </w:pPr>
    </w:p>
    <w:p w14:paraId="5F1BA65C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2. Behaving with Integrity</w:t>
      </w:r>
    </w:p>
    <w:p w14:paraId="42C9F130" w14:textId="77777777" w:rsidR="00674F8A" w:rsidRPr="00674F8A" w:rsidRDefault="00674F8A" w:rsidP="00E209FE">
      <w:pPr>
        <w:numPr>
          <w:ilvl w:val="0"/>
          <w:numId w:val="2"/>
        </w:numPr>
        <w:spacing w:after="0"/>
      </w:pPr>
      <w:r w:rsidRPr="00674F8A">
        <w:t>Governance policies include:</w:t>
      </w:r>
    </w:p>
    <w:p w14:paraId="58368924" w14:textId="77777777" w:rsidR="00674F8A" w:rsidRPr="00674F8A" w:rsidRDefault="00674F8A" w:rsidP="00E209FE">
      <w:pPr>
        <w:numPr>
          <w:ilvl w:val="1"/>
          <w:numId w:val="2"/>
        </w:numPr>
        <w:spacing w:after="0"/>
      </w:pPr>
      <w:r w:rsidRPr="00674F8A">
        <w:t>Conflict of Interest Policy</w:t>
      </w:r>
    </w:p>
    <w:p w14:paraId="3F380797" w14:textId="77777777" w:rsidR="00674F8A" w:rsidRPr="00674F8A" w:rsidRDefault="00674F8A" w:rsidP="00E209FE">
      <w:pPr>
        <w:numPr>
          <w:ilvl w:val="1"/>
          <w:numId w:val="2"/>
        </w:numPr>
        <w:spacing w:after="0"/>
      </w:pPr>
      <w:r w:rsidRPr="00674F8A">
        <w:t>Code of Conduct</w:t>
      </w:r>
    </w:p>
    <w:p w14:paraId="6387F9B4" w14:textId="77777777" w:rsidR="00674F8A" w:rsidRPr="00674F8A" w:rsidRDefault="00674F8A" w:rsidP="00E209FE">
      <w:pPr>
        <w:numPr>
          <w:ilvl w:val="1"/>
          <w:numId w:val="2"/>
        </w:numPr>
        <w:spacing w:after="0"/>
      </w:pPr>
      <w:r w:rsidRPr="00674F8A">
        <w:t>Gifts Policy</w:t>
      </w:r>
    </w:p>
    <w:p w14:paraId="72836406" w14:textId="77777777" w:rsidR="00674F8A" w:rsidRPr="00674F8A" w:rsidRDefault="00674F8A" w:rsidP="00E209FE">
      <w:pPr>
        <w:numPr>
          <w:ilvl w:val="1"/>
          <w:numId w:val="2"/>
        </w:numPr>
        <w:spacing w:after="0"/>
      </w:pPr>
      <w:r w:rsidRPr="00674F8A">
        <w:t>Staff Handbook</w:t>
      </w:r>
    </w:p>
    <w:p w14:paraId="35A14120" w14:textId="2D52EE05" w:rsidR="00674F8A" w:rsidRDefault="00674F8A" w:rsidP="00E209FE">
      <w:pPr>
        <w:numPr>
          <w:ilvl w:val="0"/>
          <w:numId w:val="2"/>
        </w:numPr>
        <w:spacing w:after="0"/>
      </w:pPr>
      <w:r w:rsidRPr="00674F8A">
        <w:t xml:space="preserve">All directors sign </w:t>
      </w:r>
      <w:r w:rsidR="00CC4FFB">
        <w:t xml:space="preserve">a </w:t>
      </w:r>
      <w:r w:rsidRPr="00674F8A">
        <w:t>code of conduct and staff acknowledge behavioural expectations.</w:t>
      </w:r>
    </w:p>
    <w:p w14:paraId="1D38EFE9" w14:textId="01F682EE" w:rsidR="00CA2C5C" w:rsidRPr="00674F8A" w:rsidRDefault="00CA2C5C" w:rsidP="00E209FE">
      <w:pPr>
        <w:numPr>
          <w:ilvl w:val="0"/>
          <w:numId w:val="2"/>
        </w:numPr>
        <w:spacing w:after="0"/>
      </w:pPr>
      <w:r>
        <w:t>Conflicts of Interests is on the agenda at all Board meetings.</w:t>
      </w:r>
    </w:p>
    <w:p w14:paraId="064C47B6" w14:textId="77777777" w:rsidR="00674F8A" w:rsidRPr="00674F8A" w:rsidRDefault="00674F8A" w:rsidP="00E209FE">
      <w:pPr>
        <w:numPr>
          <w:ilvl w:val="0"/>
          <w:numId w:val="2"/>
        </w:numPr>
        <w:spacing w:after="0"/>
      </w:pPr>
      <w:r w:rsidRPr="00674F8A">
        <w:t>Organisational values and vision are publicly displayed and embedded across operations.</w:t>
      </w:r>
    </w:p>
    <w:p w14:paraId="3767D7DA" w14:textId="77777777" w:rsidR="00674F8A" w:rsidRDefault="00674F8A" w:rsidP="00E209FE">
      <w:pPr>
        <w:numPr>
          <w:ilvl w:val="0"/>
          <w:numId w:val="2"/>
        </w:numPr>
        <w:spacing w:after="0"/>
      </w:pPr>
      <w:r w:rsidRPr="00674F8A">
        <w:t>Annual salary reviews are overseen by a Remuneration Subgroup.</w:t>
      </w:r>
    </w:p>
    <w:p w14:paraId="62211D35" w14:textId="77777777" w:rsidR="00E209FE" w:rsidRPr="00674F8A" w:rsidRDefault="00E209FE" w:rsidP="00E209FE">
      <w:pPr>
        <w:spacing w:after="0"/>
        <w:ind w:left="720"/>
      </w:pPr>
    </w:p>
    <w:p w14:paraId="25D08BA8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3. Leading People</w:t>
      </w:r>
    </w:p>
    <w:p w14:paraId="4C8A6E1E" w14:textId="1CE153B5" w:rsidR="00674F8A" w:rsidRPr="00674F8A" w:rsidRDefault="00674F8A" w:rsidP="00E209FE">
      <w:pPr>
        <w:numPr>
          <w:ilvl w:val="0"/>
          <w:numId w:val="3"/>
        </w:numPr>
        <w:spacing w:after="0"/>
      </w:pPr>
      <w:r w:rsidRPr="00674F8A">
        <w:t>Clear role descriptions and induction procedures are in place for directors, staff, and volunteers.</w:t>
      </w:r>
    </w:p>
    <w:p w14:paraId="75AF56AD" w14:textId="4B8CCFF7" w:rsidR="00674F8A" w:rsidRPr="00674F8A" w:rsidRDefault="00674F8A" w:rsidP="00E209FE">
      <w:pPr>
        <w:numPr>
          <w:ilvl w:val="0"/>
          <w:numId w:val="3"/>
        </w:numPr>
        <w:spacing w:after="0"/>
      </w:pPr>
      <w:r w:rsidRPr="00674F8A">
        <w:t xml:space="preserve">Recruitment, supervision, training, appraisal, and dismissal processes </w:t>
      </w:r>
      <w:r w:rsidR="00FE5CAA">
        <w:t xml:space="preserve">for staff </w:t>
      </w:r>
      <w:r w:rsidRPr="00674F8A">
        <w:t>are governed through formal HR policies.</w:t>
      </w:r>
    </w:p>
    <w:p w14:paraId="629D2C9F" w14:textId="77777777" w:rsidR="00674F8A" w:rsidRPr="00674F8A" w:rsidRDefault="00674F8A" w:rsidP="00E209FE">
      <w:pPr>
        <w:numPr>
          <w:ilvl w:val="0"/>
          <w:numId w:val="3"/>
        </w:numPr>
        <w:spacing w:after="0"/>
      </w:pPr>
      <w:r w:rsidRPr="00674F8A">
        <w:t>Volunteer policies and codes of conduct are established, with policy reviews planned for 2025.</w:t>
      </w:r>
    </w:p>
    <w:p w14:paraId="42C5C0AE" w14:textId="77777777" w:rsidR="00674F8A" w:rsidRDefault="00674F8A" w:rsidP="00E209FE">
      <w:pPr>
        <w:numPr>
          <w:ilvl w:val="0"/>
          <w:numId w:val="3"/>
        </w:numPr>
        <w:spacing w:after="0"/>
      </w:pPr>
      <w:r w:rsidRPr="00674F8A">
        <w:t>Governance Subgroup planned for 2025 to oversee policy review and governance improvements.</w:t>
      </w:r>
    </w:p>
    <w:p w14:paraId="2DC8D836" w14:textId="2DF807A5" w:rsidR="000B1F18" w:rsidRDefault="00F23D50" w:rsidP="00E209FE">
      <w:pPr>
        <w:numPr>
          <w:ilvl w:val="0"/>
          <w:numId w:val="3"/>
        </w:numPr>
        <w:spacing w:after="0"/>
      </w:pPr>
      <w:r>
        <w:lastRenderedPageBreak/>
        <w:t>The roles, duties and delegated responsibility for decision making is documented</w:t>
      </w:r>
      <w:r w:rsidR="005F7301">
        <w:t xml:space="preserve"> for Trustees, the Board, Board Sub-Groups, Staff and Volunteers.</w:t>
      </w:r>
    </w:p>
    <w:p w14:paraId="29C70748" w14:textId="77777777" w:rsidR="00E209FE" w:rsidRPr="00674F8A" w:rsidRDefault="00E209FE" w:rsidP="00E209FE">
      <w:pPr>
        <w:spacing w:after="0"/>
        <w:ind w:left="720"/>
      </w:pPr>
    </w:p>
    <w:p w14:paraId="377DA2C9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4. Exercising Control</w:t>
      </w:r>
    </w:p>
    <w:p w14:paraId="69DACF1C" w14:textId="77777777" w:rsidR="00674F8A" w:rsidRPr="00674F8A" w:rsidRDefault="00674F8A" w:rsidP="00E209FE">
      <w:pPr>
        <w:numPr>
          <w:ilvl w:val="0"/>
          <w:numId w:val="4"/>
        </w:numPr>
        <w:spacing w:after="0"/>
      </w:pPr>
      <w:r w:rsidRPr="00674F8A">
        <w:t>Strong financial oversight includes:</w:t>
      </w:r>
    </w:p>
    <w:p w14:paraId="0A485A10" w14:textId="77777777" w:rsidR="00674F8A" w:rsidRPr="00674F8A" w:rsidRDefault="00674F8A" w:rsidP="00E209FE">
      <w:pPr>
        <w:numPr>
          <w:ilvl w:val="1"/>
          <w:numId w:val="4"/>
        </w:numPr>
        <w:spacing w:after="0"/>
      </w:pPr>
      <w:r w:rsidRPr="00674F8A">
        <w:t>Financial policies</w:t>
      </w:r>
    </w:p>
    <w:p w14:paraId="14B3D914" w14:textId="77777777" w:rsidR="00674F8A" w:rsidRPr="00674F8A" w:rsidRDefault="00674F8A" w:rsidP="00E209FE">
      <w:pPr>
        <w:numPr>
          <w:ilvl w:val="1"/>
          <w:numId w:val="4"/>
        </w:numPr>
        <w:spacing w:after="0"/>
      </w:pPr>
      <w:r w:rsidRPr="00674F8A">
        <w:t>Bi-monthly management accounts</w:t>
      </w:r>
    </w:p>
    <w:p w14:paraId="529B8FC2" w14:textId="77777777" w:rsidR="00674F8A" w:rsidRPr="00674F8A" w:rsidRDefault="00674F8A" w:rsidP="00E209FE">
      <w:pPr>
        <w:numPr>
          <w:ilvl w:val="1"/>
          <w:numId w:val="4"/>
        </w:numPr>
        <w:spacing w:after="0"/>
      </w:pPr>
      <w:r w:rsidRPr="00674F8A">
        <w:t>External annual audit</w:t>
      </w:r>
    </w:p>
    <w:p w14:paraId="34E6E7DC" w14:textId="77777777" w:rsidR="00674F8A" w:rsidRPr="00674F8A" w:rsidRDefault="00674F8A" w:rsidP="00E209FE">
      <w:pPr>
        <w:numPr>
          <w:ilvl w:val="1"/>
          <w:numId w:val="4"/>
        </w:numPr>
        <w:spacing w:after="0"/>
      </w:pPr>
      <w:r w:rsidRPr="00674F8A">
        <w:t>Finance Subgroup reviews</w:t>
      </w:r>
    </w:p>
    <w:p w14:paraId="1959A95B" w14:textId="77777777" w:rsidR="00674F8A" w:rsidRPr="00674F8A" w:rsidRDefault="00674F8A" w:rsidP="00E209FE">
      <w:pPr>
        <w:numPr>
          <w:ilvl w:val="0"/>
          <w:numId w:val="4"/>
        </w:numPr>
        <w:spacing w:after="0"/>
      </w:pPr>
      <w:r w:rsidRPr="00674F8A">
        <w:t>Risk management framework includes a formal risk register and risk policy adopted in 2021.</w:t>
      </w:r>
    </w:p>
    <w:p w14:paraId="1FC2D802" w14:textId="77777777" w:rsidR="00674F8A" w:rsidRPr="00674F8A" w:rsidRDefault="00674F8A" w:rsidP="00E209FE">
      <w:pPr>
        <w:numPr>
          <w:ilvl w:val="0"/>
          <w:numId w:val="4"/>
        </w:numPr>
        <w:spacing w:after="0"/>
      </w:pPr>
      <w:r w:rsidRPr="00674F8A">
        <w:t>Annual insurance reviews and compliance monitoring are conducted.</w:t>
      </w:r>
    </w:p>
    <w:p w14:paraId="10E5974D" w14:textId="77777777" w:rsidR="00674F8A" w:rsidRDefault="00674F8A" w:rsidP="00E209FE">
      <w:pPr>
        <w:numPr>
          <w:ilvl w:val="0"/>
          <w:numId w:val="4"/>
        </w:numPr>
        <w:spacing w:after="0"/>
      </w:pPr>
      <w:r w:rsidRPr="00674F8A">
        <w:t>Directors undertake governance and compliance training as required.</w:t>
      </w:r>
    </w:p>
    <w:p w14:paraId="6620DB38" w14:textId="77777777" w:rsidR="00E209FE" w:rsidRPr="00674F8A" w:rsidRDefault="00E209FE" w:rsidP="00E209FE">
      <w:pPr>
        <w:spacing w:after="0"/>
        <w:ind w:left="720"/>
      </w:pPr>
    </w:p>
    <w:p w14:paraId="52EA1EE4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5. Working Effectively</w:t>
      </w:r>
    </w:p>
    <w:p w14:paraId="7AAFFA53" w14:textId="73FC8D4B" w:rsidR="00674F8A" w:rsidRPr="00674F8A" w:rsidRDefault="00674F8A" w:rsidP="00E209FE">
      <w:pPr>
        <w:numPr>
          <w:ilvl w:val="0"/>
          <w:numId w:val="5"/>
        </w:numPr>
        <w:spacing w:after="0"/>
      </w:pPr>
      <w:r w:rsidRPr="00674F8A">
        <w:t>Board meetings are held bi-monthly with formal agendas, board packs</w:t>
      </w:r>
      <w:r w:rsidR="00D53A24">
        <w:t xml:space="preserve"> issued </w:t>
      </w:r>
      <w:r w:rsidR="00473E4D">
        <w:t>at least seven days in advance</w:t>
      </w:r>
      <w:r w:rsidRPr="00674F8A">
        <w:t>, and documented minutes.</w:t>
      </w:r>
    </w:p>
    <w:p w14:paraId="4C2338C3" w14:textId="77777777" w:rsidR="00674F8A" w:rsidRPr="00674F8A" w:rsidRDefault="00674F8A" w:rsidP="00E209FE">
      <w:pPr>
        <w:numPr>
          <w:ilvl w:val="0"/>
          <w:numId w:val="5"/>
        </w:numPr>
        <w:spacing w:after="0"/>
      </w:pPr>
      <w:r w:rsidRPr="00674F8A">
        <w:t>Trustee induction and governance training are mandatory.</w:t>
      </w:r>
    </w:p>
    <w:p w14:paraId="7E457F5B" w14:textId="77777777" w:rsidR="00674F8A" w:rsidRPr="00674F8A" w:rsidRDefault="00674F8A" w:rsidP="00E209FE">
      <w:pPr>
        <w:numPr>
          <w:ilvl w:val="0"/>
          <w:numId w:val="5"/>
        </w:numPr>
        <w:spacing w:after="0"/>
      </w:pPr>
      <w:r w:rsidRPr="00674F8A">
        <w:t>Board composition, skills, succession planning, diversity, and effectiveness are under ongoing review.</w:t>
      </w:r>
    </w:p>
    <w:p w14:paraId="4B33C330" w14:textId="77777777" w:rsidR="00674F8A" w:rsidRDefault="00674F8A" w:rsidP="00E209FE">
      <w:pPr>
        <w:numPr>
          <w:ilvl w:val="0"/>
          <w:numId w:val="5"/>
        </w:numPr>
        <w:spacing w:after="0"/>
      </w:pPr>
      <w:r w:rsidRPr="00674F8A">
        <w:t>A Full Board Effectiveness Review and new trustee recruitment policy are planned for 2025.</w:t>
      </w:r>
    </w:p>
    <w:p w14:paraId="72D5CF13" w14:textId="77777777" w:rsidR="00E209FE" w:rsidRPr="00674F8A" w:rsidRDefault="00E209FE" w:rsidP="00E209FE">
      <w:pPr>
        <w:spacing w:after="0"/>
        <w:ind w:left="720"/>
      </w:pPr>
    </w:p>
    <w:p w14:paraId="1BD3EF77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6. Being Accountable</w:t>
      </w:r>
    </w:p>
    <w:p w14:paraId="2C9678B4" w14:textId="77777777" w:rsidR="00674F8A" w:rsidRPr="00674F8A" w:rsidRDefault="00674F8A" w:rsidP="00E209FE">
      <w:pPr>
        <w:numPr>
          <w:ilvl w:val="0"/>
          <w:numId w:val="6"/>
        </w:numPr>
        <w:spacing w:after="0"/>
      </w:pPr>
      <w:r w:rsidRPr="00674F8A">
        <w:t>Stakeholder communication is maintained through the website, social media, surveys, reports, and direct engagement.</w:t>
      </w:r>
    </w:p>
    <w:p w14:paraId="23A16E61" w14:textId="77777777" w:rsidR="00674F8A" w:rsidRPr="00674F8A" w:rsidRDefault="00674F8A" w:rsidP="00E209FE">
      <w:pPr>
        <w:numPr>
          <w:ilvl w:val="0"/>
          <w:numId w:val="6"/>
        </w:numPr>
        <w:spacing w:after="0"/>
      </w:pPr>
      <w:r w:rsidRPr="00674F8A">
        <w:t>Complaints, queries, and stakeholder feedback are formally recorded and reviewed.</w:t>
      </w:r>
    </w:p>
    <w:p w14:paraId="031442AE" w14:textId="77777777" w:rsidR="00674F8A" w:rsidRPr="00674F8A" w:rsidRDefault="00674F8A" w:rsidP="00E209FE">
      <w:pPr>
        <w:numPr>
          <w:ilvl w:val="0"/>
          <w:numId w:val="6"/>
        </w:numPr>
        <w:spacing w:after="0"/>
      </w:pPr>
      <w:r w:rsidRPr="00674F8A">
        <w:t>Annual accounts and reports are prepared, independently audited, and filed with the relevant regulatory bodies.</w:t>
      </w:r>
    </w:p>
    <w:p w14:paraId="54409445" w14:textId="43F552ED" w:rsidR="00674F8A" w:rsidRDefault="00674F8A" w:rsidP="00E209FE">
      <w:pPr>
        <w:numPr>
          <w:ilvl w:val="0"/>
          <w:numId w:val="6"/>
        </w:numPr>
        <w:spacing w:after="0"/>
      </w:pPr>
      <w:r w:rsidRPr="00674F8A">
        <w:t>The organisation reports regularly to funders, including Pobal.</w:t>
      </w:r>
    </w:p>
    <w:p w14:paraId="520C947F" w14:textId="77777777" w:rsidR="00D27248" w:rsidRPr="00674F8A" w:rsidRDefault="00D27248" w:rsidP="00E209FE">
      <w:pPr>
        <w:spacing w:after="0"/>
        <w:ind w:left="720"/>
      </w:pPr>
    </w:p>
    <w:p w14:paraId="4C85035E" w14:textId="77777777" w:rsidR="00674F8A" w:rsidRPr="00674F8A" w:rsidRDefault="00674F8A" w:rsidP="00E209FE">
      <w:pPr>
        <w:spacing w:after="0"/>
        <w:rPr>
          <w:b/>
          <w:bCs/>
        </w:rPr>
      </w:pPr>
      <w:r w:rsidRPr="00674F8A">
        <w:rPr>
          <w:b/>
          <w:bCs/>
        </w:rPr>
        <w:t>Areas Identified for Development in 2025</w:t>
      </w:r>
    </w:p>
    <w:p w14:paraId="25DF00FF" w14:textId="77777777" w:rsidR="00674F8A" w:rsidRPr="00674F8A" w:rsidRDefault="00674F8A" w:rsidP="00E209FE">
      <w:pPr>
        <w:spacing w:after="0"/>
      </w:pPr>
      <w:r w:rsidRPr="00674F8A">
        <w:t>The organisation has identified several governance enhancement priorities for 2025, including:</w:t>
      </w:r>
    </w:p>
    <w:p w14:paraId="7735F3ED" w14:textId="1208B22F" w:rsidR="00674F8A" w:rsidRPr="00674F8A" w:rsidRDefault="00674F8A" w:rsidP="00E209FE">
      <w:pPr>
        <w:numPr>
          <w:ilvl w:val="0"/>
          <w:numId w:val="7"/>
        </w:numPr>
        <w:spacing w:after="0"/>
      </w:pPr>
      <w:r w:rsidRPr="00674F8A">
        <w:t>Strategic Plan development</w:t>
      </w:r>
    </w:p>
    <w:p w14:paraId="6BDBBB43" w14:textId="77777777" w:rsidR="00674F8A" w:rsidRPr="00674F8A" w:rsidRDefault="00674F8A" w:rsidP="00E209FE">
      <w:pPr>
        <w:numPr>
          <w:ilvl w:val="0"/>
          <w:numId w:val="7"/>
        </w:numPr>
        <w:spacing w:after="0"/>
      </w:pPr>
      <w:r w:rsidRPr="00674F8A">
        <w:t>Establishment of a Governance Subgroup</w:t>
      </w:r>
    </w:p>
    <w:p w14:paraId="67ABF665" w14:textId="77777777" w:rsidR="00674F8A" w:rsidRPr="00674F8A" w:rsidRDefault="00674F8A" w:rsidP="00E209FE">
      <w:pPr>
        <w:numPr>
          <w:ilvl w:val="0"/>
          <w:numId w:val="7"/>
        </w:numPr>
        <w:spacing w:after="0"/>
      </w:pPr>
      <w:r w:rsidRPr="00674F8A">
        <w:t>Full Board Effectiveness Review</w:t>
      </w:r>
    </w:p>
    <w:p w14:paraId="4B1860AD" w14:textId="24BEFA54" w:rsidR="00674F8A" w:rsidRPr="00674F8A" w:rsidRDefault="00674F8A" w:rsidP="00E209FE">
      <w:pPr>
        <w:numPr>
          <w:ilvl w:val="0"/>
          <w:numId w:val="7"/>
        </w:numPr>
        <w:spacing w:after="0"/>
      </w:pPr>
      <w:r w:rsidRPr="00674F8A">
        <w:t xml:space="preserve">Review of volunteer, finance, complaints, </w:t>
      </w:r>
      <w:r w:rsidR="00F73904">
        <w:t xml:space="preserve">term limit </w:t>
      </w:r>
      <w:r w:rsidRPr="00674F8A">
        <w:t>and governance policies</w:t>
      </w:r>
    </w:p>
    <w:p w14:paraId="01419A7A" w14:textId="6A57BCE1" w:rsidR="00674F8A" w:rsidRPr="00674F8A" w:rsidRDefault="00674F8A" w:rsidP="00E209FE">
      <w:pPr>
        <w:numPr>
          <w:ilvl w:val="0"/>
          <w:numId w:val="7"/>
        </w:numPr>
        <w:spacing w:after="0"/>
      </w:pPr>
      <w:r w:rsidRPr="00674F8A">
        <w:t>Trustee recruitment</w:t>
      </w:r>
      <w:r w:rsidR="00C27054">
        <w:t xml:space="preserve">, </w:t>
      </w:r>
      <w:r w:rsidRPr="00674F8A">
        <w:t xml:space="preserve"> succession planning</w:t>
      </w:r>
      <w:r w:rsidR="00C27054">
        <w:t xml:space="preserve"> and </w:t>
      </w:r>
      <w:r w:rsidR="00ED09EB">
        <w:t>Trustee induction</w:t>
      </w:r>
      <w:r w:rsidRPr="00674F8A">
        <w:t xml:space="preserve"> improvements</w:t>
      </w:r>
    </w:p>
    <w:p w14:paraId="4CCFF4B0" w14:textId="77777777" w:rsidR="00674F8A" w:rsidRPr="00674F8A" w:rsidRDefault="00674F8A" w:rsidP="00E209FE">
      <w:pPr>
        <w:numPr>
          <w:ilvl w:val="0"/>
          <w:numId w:val="7"/>
        </w:numPr>
        <w:spacing w:after="0"/>
      </w:pPr>
      <w:r w:rsidRPr="00674F8A">
        <w:t>Expanded stakeholder engagement processes</w:t>
      </w:r>
    </w:p>
    <w:p w14:paraId="7A031484" w14:textId="19948A83" w:rsidR="0049750D" w:rsidRDefault="00674F8A" w:rsidP="00E209FE">
      <w:pPr>
        <w:numPr>
          <w:ilvl w:val="0"/>
          <w:numId w:val="7"/>
        </w:numPr>
        <w:spacing w:after="0"/>
      </w:pPr>
      <w:r w:rsidRPr="00674F8A">
        <w:t>Continued preparation for SORP compliance</w:t>
      </w:r>
    </w:p>
    <w:sectPr w:rsidR="0049750D" w:rsidSect="00A57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CC0"/>
    <w:multiLevelType w:val="multilevel"/>
    <w:tmpl w:val="2A04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402D6"/>
    <w:multiLevelType w:val="multilevel"/>
    <w:tmpl w:val="0AB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E05AB"/>
    <w:multiLevelType w:val="multilevel"/>
    <w:tmpl w:val="589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9747A"/>
    <w:multiLevelType w:val="multilevel"/>
    <w:tmpl w:val="574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727C4"/>
    <w:multiLevelType w:val="multilevel"/>
    <w:tmpl w:val="7FF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D5FFB"/>
    <w:multiLevelType w:val="multilevel"/>
    <w:tmpl w:val="CC5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E2657"/>
    <w:multiLevelType w:val="multilevel"/>
    <w:tmpl w:val="219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49887">
    <w:abstractNumId w:val="2"/>
  </w:num>
  <w:num w:numId="2" w16cid:durableId="1339699683">
    <w:abstractNumId w:val="4"/>
  </w:num>
  <w:num w:numId="3" w16cid:durableId="1402216160">
    <w:abstractNumId w:val="0"/>
  </w:num>
  <w:num w:numId="4" w16cid:durableId="2056344197">
    <w:abstractNumId w:val="3"/>
  </w:num>
  <w:num w:numId="5" w16cid:durableId="499778077">
    <w:abstractNumId w:val="6"/>
  </w:num>
  <w:num w:numId="6" w16cid:durableId="2109108792">
    <w:abstractNumId w:val="5"/>
  </w:num>
  <w:num w:numId="7" w16cid:durableId="39971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97"/>
    <w:rsid w:val="00016497"/>
    <w:rsid w:val="000B1F18"/>
    <w:rsid w:val="001972E3"/>
    <w:rsid w:val="0027760F"/>
    <w:rsid w:val="002C7EC2"/>
    <w:rsid w:val="00365397"/>
    <w:rsid w:val="003F0B9D"/>
    <w:rsid w:val="00473E4D"/>
    <w:rsid w:val="00480C6D"/>
    <w:rsid w:val="0049750D"/>
    <w:rsid w:val="005F7301"/>
    <w:rsid w:val="00640BAF"/>
    <w:rsid w:val="00674F8A"/>
    <w:rsid w:val="007119D3"/>
    <w:rsid w:val="007B25F7"/>
    <w:rsid w:val="00816005"/>
    <w:rsid w:val="00850879"/>
    <w:rsid w:val="009D4210"/>
    <w:rsid w:val="009D6291"/>
    <w:rsid w:val="00A573C1"/>
    <w:rsid w:val="00A9245F"/>
    <w:rsid w:val="00C27054"/>
    <w:rsid w:val="00CA2C5C"/>
    <w:rsid w:val="00CC4FFB"/>
    <w:rsid w:val="00D27248"/>
    <w:rsid w:val="00D51B37"/>
    <w:rsid w:val="00D53A24"/>
    <w:rsid w:val="00DC1F9D"/>
    <w:rsid w:val="00E209FE"/>
    <w:rsid w:val="00ED09EB"/>
    <w:rsid w:val="00F23D50"/>
    <w:rsid w:val="00F240C7"/>
    <w:rsid w:val="00F73904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5A08"/>
  <w15:chartTrackingRefBased/>
  <w15:docId w15:val="{D77346C3-16CF-4503-AA5E-2FA2482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39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F0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Kennedy</dc:creator>
  <cp:keywords/>
  <dc:description/>
  <cp:lastModifiedBy>David Graham</cp:lastModifiedBy>
  <cp:revision>20</cp:revision>
  <dcterms:created xsi:type="dcterms:W3CDTF">2026-05-28T09:36:00Z</dcterms:created>
  <dcterms:modified xsi:type="dcterms:W3CDTF">2026-05-28T10:05:00Z</dcterms:modified>
</cp:coreProperties>
</file>